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9267" w14:textId="6C695B48" w:rsidR="00583836" w:rsidRPr="00583836" w:rsidRDefault="00583836" w:rsidP="0058383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836">
        <w:rPr>
          <w:rFonts w:ascii="Times New Roman" w:hAnsi="Times New Roman" w:cs="Times New Roman"/>
          <w:b/>
          <w:bCs/>
          <w:sz w:val="32"/>
          <w:szCs w:val="32"/>
        </w:rPr>
        <w:t>Regler og retningslinjer</w:t>
      </w:r>
    </w:p>
    <w:p w14:paraId="441E8D23" w14:textId="77777777" w:rsidR="00583836" w:rsidRDefault="00583836" w:rsidP="00583836">
      <w:pPr>
        <w:rPr>
          <w:rFonts w:ascii="Times New Roman" w:hAnsi="Times New Roman" w:cs="Times New Roman"/>
          <w:sz w:val="24"/>
          <w:szCs w:val="24"/>
        </w:rPr>
      </w:pPr>
    </w:p>
    <w:p w14:paraId="07FC53F1" w14:textId="3268AAEF" w:rsidR="00583836" w:rsidRPr="00583836" w:rsidRDefault="00583836" w:rsidP="005838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3836">
        <w:rPr>
          <w:rFonts w:ascii="Times New Roman" w:hAnsi="Times New Roman" w:cs="Times New Roman"/>
          <w:b/>
          <w:bCs/>
          <w:sz w:val="24"/>
          <w:szCs w:val="24"/>
        </w:rPr>
        <w:t>Turneringsdeltagelse</w:t>
      </w:r>
    </w:p>
    <w:p w14:paraId="368B5EDA" w14:textId="77DB1FF6" w:rsidR="00583836" w:rsidRDefault="00583836" w:rsidP="00583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fleste turneringene på terminlista har rankingstatus. For å delta i rankingturneringer, norgesmesterskap og kvalifiseringsturneringer til internasjonale mesterskap, må man ha spillerlisens. Husk at det kreves norsk statsborgerskap og/eller fast bostedsadresse i Norge for å løse lisens. Turneringene uten rankingstatus stiller ikke krav om lisens, men man på være medlem av en klubb registrert i FIF Seksjon Petanque for å delta. Benytt gjerne disse anledningene til å få nye spillere inn i miljøet.</w:t>
      </w:r>
    </w:p>
    <w:p w14:paraId="6DA736E6" w14:textId="77777777" w:rsidR="00A87C20" w:rsidRDefault="00A87C20" w:rsidP="00583836">
      <w:pPr>
        <w:rPr>
          <w:rFonts w:ascii="Times New Roman" w:hAnsi="Times New Roman" w:cs="Times New Roman"/>
          <w:sz w:val="24"/>
          <w:szCs w:val="24"/>
        </w:rPr>
      </w:pPr>
    </w:p>
    <w:p w14:paraId="1E968FCF" w14:textId="77777777" w:rsidR="00A87C20" w:rsidRPr="00A87C20" w:rsidRDefault="00A87C20" w:rsidP="00A87C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C20">
        <w:rPr>
          <w:rFonts w:ascii="Times New Roman" w:hAnsi="Times New Roman" w:cs="Times New Roman"/>
          <w:b/>
          <w:bCs/>
          <w:sz w:val="24"/>
          <w:szCs w:val="24"/>
        </w:rPr>
        <w:t>Kiosk</w:t>
      </w:r>
    </w:p>
    <w:p w14:paraId="6C8E17C5" w14:textId="37AE3D0B" w:rsidR="00A87C20" w:rsidRPr="00583836" w:rsidRDefault="00A87C20" w:rsidP="00A8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Kravet</w:t>
      </w:r>
      <w:r w:rsidRPr="00583836">
        <w:rPr>
          <w:rFonts w:ascii="Times New Roman" w:hAnsi="Times New Roman" w:cs="Times New Roman"/>
          <w:sz w:val="24"/>
          <w:szCs w:val="24"/>
        </w:rPr>
        <w:t xml:space="preserve"> om kiosk eller muligheten til å kjøpe mat og drikke i umiddelbar nærhet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836">
        <w:rPr>
          <w:rFonts w:ascii="Times New Roman" w:hAnsi="Times New Roman" w:cs="Times New Roman"/>
          <w:sz w:val="24"/>
          <w:szCs w:val="24"/>
        </w:rPr>
        <w:t xml:space="preserve">gjelder for </w:t>
      </w:r>
      <w:r w:rsidRPr="00A87C20">
        <w:rPr>
          <w:rFonts w:ascii="Times New Roman" w:hAnsi="Times New Roman" w:cs="Times New Roman"/>
          <w:sz w:val="24"/>
          <w:szCs w:val="24"/>
          <w:u w:val="single"/>
        </w:rPr>
        <w:t>alle</w:t>
      </w:r>
      <w:r w:rsidRPr="00583836">
        <w:rPr>
          <w:rFonts w:ascii="Times New Roman" w:hAnsi="Times New Roman" w:cs="Times New Roman"/>
          <w:sz w:val="24"/>
          <w:szCs w:val="24"/>
        </w:rPr>
        <w:t xml:space="preserve"> arrangementene våre</w:t>
      </w:r>
      <w:r>
        <w:rPr>
          <w:rFonts w:ascii="Times New Roman" w:hAnsi="Times New Roman" w:cs="Times New Roman"/>
          <w:sz w:val="24"/>
          <w:szCs w:val="24"/>
        </w:rPr>
        <w:t>. Dette er også en potensiell inntektskilde for arrangørklubbene.</w:t>
      </w:r>
    </w:p>
    <w:p w14:paraId="6491F7A5" w14:textId="3B46621C" w:rsidR="00583836" w:rsidRPr="00A87C20" w:rsidRDefault="00583836" w:rsidP="00583836">
      <w:pPr>
        <w:rPr>
          <w:rFonts w:ascii="Times New Roman" w:hAnsi="Times New Roman" w:cs="Times New Roman"/>
          <w:sz w:val="24"/>
          <w:szCs w:val="24"/>
        </w:rPr>
      </w:pPr>
    </w:p>
    <w:p w14:paraId="5752C53C" w14:textId="747267CA" w:rsidR="006F5930" w:rsidRPr="00555321" w:rsidRDefault="00A87C20" w:rsidP="006F59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321">
        <w:rPr>
          <w:rFonts w:ascii="Times New Roman" w:hAnsi="Times New Roman" w:cs="Times New Roman"/>
          <w:b/>
          <w:bCs/>
          <w:sz w:val="24"/>
          <w:szCs w:val="24"/>
        </w:rPr>
        <w:t>Særlige k</w:t>
      </w:r>
      <w:r w:rsidR="006F5930" w:rsidRPr="00555321">
        <w:rPr>
          <w:rFonts w:ascii="Times New Roman" w:hAnsi="Times New Roman" w:cs="Times New Roman"/>
          <w:b/>
          <w:bCs/>
          <w:sz w:val="24"/>
          <w:szCs w:val="24"/>
        </w:rPr>
        <w:t>rav til rankingstevne</w:t>
      </w:r>
    </w:p>
    <w:p w14:paraId="78141CD7" w14:textId="5E48F2A2" w:rsidR="006F5930" w:rsidRDefault="006F5930" w:rsidP="006F5930">
      <w:pPr>
        <w:rPr>
          <w:rFonts w:ascii="Times New Roman" w:hAnsi="Times New Roman" w:cs="Times New Roman"/>
          <w:sz w:val="24"/>
          <w:szCs w:val="24"/>
        </w:rPr>
      </w:pPr>
      <w:r w:rsidRPr="00583836">
        <w:rPr>
          <w:rFonts w:ascii="Times New Roman" w:hAnsi="Times New Roman" w:cs="Times New Roman"/>
          <w:sz w:val="24"/>
          <w:szCs w:val="24"/>
        </w:rPr>
        <w:t xml:space="preserve">Følgende krav </w:t>
      </w:r>
      <w:r w:rsidR="00A87C20">
        <w:rPr>
          <w:rFonts w:ascii="Times New Roman" w:hAnsi="Times New Roman" w:cs="Times New Roman"/>
          <w:sz w:val="24"/>
          <w:szCs w:val="24"/>
        </w:rPr>
        <w:t>stilles</w:t>
      </w:r>
      <w:r w:rsidRPr="00583836">
        <w:rPr>
          <w:rFonts w:ascii="Times New Roman" w:hAnsi="Times New Roman" w:cs="Times New Roman"/>
          <w:sz w:val="24"/>
          <w:szCs w:val="24"/>
        </w:rPr>
        <w:t xml:space="preserve"> til den enkelte </w:t>
      </w:r>
      <w:r w:rsidRPr="006F5930">
        <w:rPr>
          <w:rFonts w:ascii="Times New Roman" w:hAnsi="Times New Roman" w:cs="Times New Roman"/>
          <w:sz w:val="24"/>
          <w:szCs w:val="24"/>
        </w:rPr>
        <w:t>klubb</w:t>
      </w:r>
      <w:r w:rsidRPr="00583836">
        <w:rPr>
          <w:rFonts w:ascii="Times New Roman" w:hAnsi="Times New Roman" w:cs="Times New Roman"/>
          <w:sz w:val="24"/>
          <w:szCs w:val="24"/>
        </w:rPr>
        <w:t xml:space="preserve"> ved gjennomføring av et rankingstevne:</w:t>
      </w:r>
    </w:p>
    <w:p w14:paraId="740D862B" w14:textId="77777777" w:rsidR="006F5930" w:rsidRDefault="006F5930" w:rsidP="006F593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930">
        <w:rPr>
          <w:rFonts w:ascii="Times New Roman" w:hAnsi="Times New Roman" w:cs="Times New Roman"/>
          <w:sz w:val="24"/>
          <w:szCs w:val="24"/>
        </w:rPr>
        <w:t>Sekretariat: Det skal være et sekretariat bestående av min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6F5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én</w:t>
      </w:r>
      <w:r w:rsidRPr="006F5930">
        <w:rPr>
          <w:rFonts w:ascii="Times New Roman" w:hAnsi="Times New Roman" w:cs="Times New Roman"/>
          <w:sz w:val="24"/>
          <w:szCs w:val="24"/>
        </w:rPr>
        <w:t xml:space="preserve"> ikke-spillende person.</w:t>
      </w:r>
    </w:p>
    <w:p w14:paraId="22BD646C" w14:textId="4B44A489" w:rsidR="006F5930" w:rsidRDefault="006F5930" w:rsidP="006F593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930">
        <w:rPr>
          <w:rFonts w:ascii="Times New Roman" w:hAnsi="Times New Roman" w:cs="Times New Roman"/>
          <w:sz w:val="24"/>
          <w:szCs w:val="24"/>
        </w:rPr>
        <w:t>Resultater: Arrangørklubben 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ansvarlig for å levere liste over deltakere og resultat 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seksjonsstyret, eller annen person utpekt av seksjonsstyret, ved turneringens avslutning.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 xml:space="preserve">Overleveringen skal skje via e-post innen kl. 12 påfølgende dag til </w:t>
      </w:r>
      <w:hyperlink r:id="rId7" w:history="1">
        <w:r w:rsidRPr="00611CB8">
          <w:rPr>
            <w:rStyle w:val="Hyperkobling"/>
            <w:rFonts w:ascii="Times New Roman" w:hAnsi="Times New Roman" w:cs="Times New Roman"/>
            <w:sz w:val="24"/>
            <w:szCs w:val="24"/>
          </w:rPr>
          <w:t>petanque.no@gmail.com</w:t>
        </w:r>
      </w:hyperlink>
      <w:r w:rsidR="00555321">
        <w:rPr>
          <w:rFonts w:ascii="Times New Roman" w:hAnsi="Times New Roman" w:cs="Times New Roman"/>
          <w:sz w:val="24"/>
          <w:szCs w:val="24"/>
        </w:rPr>
        <w:t>.</w:t>
      </w:r>
      <w:r w:rsidRPr="006F5930">
        <w:rPr>
          <w:rFonts w:ascii="Times New Roman" w:hAnsi="Times New Roman" w:cs="Times New Roman"/>
          <w:sz w:val="24"/>
          <w:szCs w:val="24"/>
        </w:rPr>
        <w:t>Vi ønsker også referat/artikkel og bilder til våre nettsider, og bidragsytere kan følgelig hentes 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utenfor arrangørenes rekker.</w:t>
      </w:r>
    </w:p>
    <w:p w14:paraId="68B53836" w14:textId="1843990A" w:rsidR="006F5930" w:rsidRDefault="006F5930" w:rsidP="006F593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930">
        <w:rPr>
          <w:rFonts w:ascii="Times New Roman" w:hAnsi="Times New Roman" w:cs="Times New Roman"/>
          <w:sz w:val="24"/>
          <w:szCs w:val="24"/>
        </w:rPr>
        <w:t>Dommer: En ikke-spillende dommer utnevnes på forhånd. Dersom man ikke får tak i en ikke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5930">
        <w:rPr>
          <w:rFonts w:ascii="Times New Roman" w:hAnsi="Times New Roman" w:cs="Times New Roman"/>
          <w:sz w:val="24"/>
          <w:szCs w:val="24"/>
        </w:rPr>
        <w:t>spillende dommer, skal man bruke spillende dommer og en turneringsjury. Avtale skal skje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forkant av turneringen. Også i år vil seksjonen betale utgiftene med en ikke-spillende godkjent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dommer. Klubben må selv gjøre avtale med ikke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5930">
        <w:rPr>
          <w:rFonts w:ascii="Times New Roman" w:hAnsi="Times New Roman" w:cs="Times New Roman"/>
          <w:sz w:val="24"/>
          <w:szCs w:val="24"/>
        </w:rPr>
        <w:t>spillende dommer.</w:t>
      </w:r>
    </w:p>
    <w:p w14:paraId="3A738FAA" w14:textId="77777777" w:rsidR="00A87C20" w:rsidRDefault="006F5930" w:rsidP="006F593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930">
        <w:rPr>
          <w:rFonts w:ascii="Times New Roman" w:hAnsi="Times New Roman" w:cs="Times New Roman"/>
          <w:sz w:val="24"/>
          <w:szCs w:val="24"/>
        </w:rPr>
        <w:t>Turneringsavvikling/spilleoppsett: Et rankingstevne bør ikke gå over flere enn 7 kamper, 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minimum 5 kamper inkl</w:t>
      </w:r>
      <w:r>
        <w:rPr>
          <w:rFonts w:ascii="Times New Roman" w:hAnsi="Times New Roman" w:cs="Times New Roman"/>
          <w:sz w:val="24"/>
          <w:szCs w:val="24"/>
        </w:rPr>
        <w:t>udert</w:t>
      </w:r>
      <w:r w:rsidRPr="006F5930">
        <w:rPr>
          <w:rFonts w:ascii="Times New Roman" w:hAnsi="Times New Roman" w:cs="Times New Roman"/>
          <w:sz w:val="24"/>
          <w:szCs w:val="24"/>
        </w:rPr>
        <w:t xml:space="preserve"> sluttspill. Arrangøren skal informere om spilleoppsett før spillestart.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BD9D8" w14:textId="63E424CD" w:rsidR="00A87C20" w:rsidRDefault="006F5930" w:rsidP="00A87C20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C20">
        <w:rPr>
          <w:rFonts w:ascii="Times New Roman" w:hAnsi="Times New Roman" w:cs="Times New Roman"/>
          <w:sz w:val="24"/>
          <w:szCs w:val="24"/>
        </w:rPr>
        <w:t xml:space="preserve">Alle rankingstevner skal ha sluttspill. Sluttspillkamper skal alltid spilles fra 0-0 og uten tidsbegrensning, jamfør internasjonale regler. Vi anbefaler at dette overholdes også i innledende, dersom spilleoppsett ikke krever annet. Godkjente begrensninger er enten kampstart på 2-2 eller tid: minimum 1 time og 1 kvarter pluss to grisekast (i trippel) 1 time og to grisekast (dobbel) eller 45 minutter (singel). Dersom begrensning tas i bruk må dette opplyses om så tidlig som mulig og i alle fall innen frist for påmelding, samt i tilfeller ved ekstrem nedbør og/eller svært kalde spilleforhold. Styret jobber med å oppdatere og ordne gamle turneringsskjemaer, og vil også oppfordre arrangørklubber </w:t>
      </w:r>
      <w:r w:rsidR="00AB60F7">
        <w:rPr>
          <w:rFonts w:ascii="Times New Roman" w:hAnsi="Times New Roman" w:cs="Times New Roman"/>
          <w:sz w:val="24"/>
          <w:szCs w:val="24"/>
        </w:rPr>
        <w:t>til</w:t>
      </w:r>
      <w:r w:rsidRPr="00A87C20">
        <w:rPr>
          <w:rFonts w:ascii="Times New Roman" w:hAnsi="Times New Roman" w:cs="Times New Roman"/>
          <w:sz w:val="24"/>
          <w:szCs w:val="24"/>
        </w:rPr>
        <w:t xml:space="preserve"> å prøve ulike oppsett.</w:t>
      </w:r>
      <w:r w:rsidR="00A87C20" w:rsidRPr="00A87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ECB42" w14:textId="211FF711" w:rsidR="006F5930" w:rsidRPr="00A87C20" w:rsidRDefault="00A87C20" w:rsidP="00A87C20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C20">
        <w:rPr>
          <w:rFonts w:ascii="Times New Roman" w:hAnsi="Times New Roman" w:cs="Times New Roman"/>
          <w:sz w:val="24"/>
          <w:szCs w:val="24"/>
        </w:rPr>
        <w:lastRenderedPageBreak/>
        <w:t>B-sluttspill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7C20">
        <w:rPr>
          <w:rFonts w:ascii="Times New Roman" w:hAnsi="Times New Roman" w:cs="Times New Roman"/>
          <w:sz w:val="24"/>
          <w:szCs w:val="24"/>
        </w:rPr>
        <w:t>Seksjonen ønsker økt fokus på B-sluttspill ved rankingturneringer med gruppespill, dette for 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20">
        <w:rPr>
          <w:rFonts w:ascii="Times New Roman" w:hAnsi="Times New Roman" w:cs="Times New Roman"/>
          <w:sz w:val="24"/>
          <w:szCs w:val="24"/>
        </w:rPr>
        <w:t>sikre tilstrekkelig antall kamper for alle. Vi oppfordrer derfor arrangørklubben å legge til rette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20">
        <w:rPr>
          <w:rFonts w:ascii="Times New Roman" w:hAnsi="Times New Roman" w:cs="Times New Roman"/>
          <w:sz w:val="24"/>
          <w:szCs w:val="24"/>
        </w:rPr>
        <w:t>for dette. Fra 2018-sesongen har det vært obligatorisk deltakelse i B-sluttspill og det deles også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20">
        <w:rPr>
          <w:rFonts w:ascii="Times New Roman" w:hAnsi="Times New Roman" w:cs="Times New Roman"/>
          <w:sz w:val="24"/>
          <w:szCs w:val="24"/>
        </w:rPr>
        <w:t>ut rankingpoeng i B-sluttspillet.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20">
        <w:rPr>
          <w:rFonts w:ascii="Times New Roman" w:hAnsi="Times New Roman" w:cs="Times New Roman"/>
          <w:sz w:val="24"/>
          <w:szCs w:val="24"/>
        </w:rPr>
        <w:t>Resultatlister fra både A- og B-sluttspill (og eventuelt flere sluttspill) skal oversendes</w:t>
      </w:r>
      <w:r>
        <w:rPr>
          <w:rFonts w:ascii="Times New Roman" w:hAnsi="Times New Roman" w:cs="Times New Roman"/>
          <w:sz w:val="24"/>
          <w:szCs w:val="24"/>
        </w:rPr>
        <w:t xml:space="preserve"> seksjonen.</w:t>
      </w:r>
    </w:p>
    <w:p w14:paraId="39D29B03" w14:textId="77777777" w:rsidR="006F5930" w:rsidRDefault="006F5930" w:rsidP="006F593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930">
        <w:rPr>
          <w:rFonts w:ascii="Times New Roman" w:hAnsi="Times New Roman" w:cs="Times New Roman"/>
          <w:sz w:val="24"/>
          <w:szCs w:val="24"/>
        </w:rPr>
        <w:t>Forbud mot rusmidler: Det skal ikke røykes på banen under spill. En spiller som blir tatt får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først en advarsel, ved neste overtredelse vil spilleren bli utvist. Advarsel skal gis av dommer(e)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eller turneringsleder, etter samråd med sekretariatet. Alkohol eller andre rusmidler er strengt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forbudt. Overtredelse medfører umiddelbar utvisning. I påvente av en eventuell opprettelse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sanksjonsråd, bes skriftlige klager på spillere som ikke overholder disse reglene sendes 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seksjonsstyret.</w:t>
      </w:r>
    </w:p>
    <w:p w14:paraId="6224157A" w14:textId="15030B12" w:rsidR="006F5930" w:rsidRPr="006F5930" w:rsidRDefault="006F5930" w:rsidP="006F593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930">
        <w:rPr>
          <w:rFonts w:ascii="Times New Roman" w:hAnsi="Times New Roman" w:cs="Times New Roman"/>
          <w:sz w:val="24"/>
          <w:szCs w:val="24"/>
        </w:rPr>
        <w:t>Klær / Sko: Anstendige klær bør være en selvfølge, men viktigst av alt: Heldekkende sko, dette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930">
        <w:rPr>
          <w:rFonts w:ascii="Times New Roman" w:hAnsi="Times New Roman" w:cs="Times New Roman"/>
          <w:sz w:val="24"/>
          <w:szCs w:val="24"/>
        </w:rPr>
        <w:t>av sikkerhetsmessige årsaker.</w:t>
      </w:r>
    </w:p>
    <w:p w14:paraId="54E4A7D6" w14:textId="77777777" w:rsidR="00583836" w:rsidRPr="00583836" w:rsidRDefault="00583836" w:rsidP="00583836">
      <w:pPr>
        <w:rPr>
          <w:rFonts w:ascii="Times New Roman" w:hAnsi="Times New Roman" w:cs="Times New Roman"/>
          <w:sz w:val="24"/>
          <w:szCs w:val="24"/>
        </w:rPr>
      </w:pPr>
    </w:p>
    <w:p w14:paraId="63F1FD15" w14:textId="50E983F3" w:rsidR="00583836" w:rsidRPr="00A87C20" w:rsidRDefault="00583836" w:rsidP="005838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C20">
        <w:rPr>
          <w:rFonts w:ascii="Times New Roman" w:hAnsi="Times New Roman" w:cs="Times New Roman"/>
          <w:b/>
          <w:bCs/>
          <w:sz w:val="24"/>
          <w:szCs w:val="24"/>
        </w:rPr>
        <w:t>Ranking</w:t>
      </w:r>
      <w:r w:rsidR="00A87C20" w:rsidRPr="00A87C20">
        <w:rPr>
          <w:rFonts w:ascii="Times New Roman" w:hAnsi="Times New Roman" w:cs="Times New Roman"/>
          <w:b/>
          <w:bCs/>
          <w:sz w:val="24"/>
          <w:szCs w:val="24"/>
        </w:rPr>
        <w:t xml:space="preserve"> og premiering</w:t>
      </w:r>
    </w:p>
    <w:p w14:paraId="744674C7" w14:textId="32CAE9BA" w:rsidR="00A87C20" w:rsidRDefault="00A87C20" w:rsidP="00583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blir delt ut rankingpoeng i alle rankingtureringer, inkludert alle klasser i norgesmesterskapet. Ved mange nok lag vil det også bli delt ut rankingpoeng i B-sluttspillet. </w:t>
      </w:r>
      <w:r w:rsidR="00AB60F7">
        <w:rPr>
          <w:rFonts w:ascii="Times New Roman" w:hAnsi="Times New Roman" w:cs="Times New Roman"/>
          <w:sz w:val="24"/>
          <w:szCs w:val="24"/>
        </w:rPr>
        <w:t>Reglene for hvordan rankingpoengene skal fordeles etter antall deltagerlag finner dere her.</w:t>
      </w:r>
    </w:p>
    <w:p w14:paraId="0B23CEC7" w14:textId="77777777" w:rsidR="00AB60F7" w:rsidRDefault="00AB60F7" w:rsidP="00583836">
      <w:pPr>
        <w:rPr>
          <w:rFonts w:ascii="Times New Roman" w:hAnsi="Times New Roman" w:cs="Times New Roman"/>
          <w:sz w:val="24"/>
          <w:szCs w:val="24"/>
        </w:rPr>
      </w:pPr>
    </w:p>
    <w:p w14:paraId="52CCA454" w14:textId="77777777" w:rsidR="00AB60F7" w:rsidRDefault="00583836" w:rsidP="00583836">
      <w:pPr>
        <w:rPr>
          <w:rFonts w:ascii="Times New Roman" w:hAnsi="Times New Roman" w:cs="Times New Roman"/>
          <w:sz w:val="24"/>
          <w:szCs w:val="24"/>
        </w:rPr>
      </w:pPr>
      <w:r w:rsidRPr="00583836">
        <w:rPr>
          <w:rFonts w:ascii="Times New Roman" w:hAnsi="Times New Roman" w:cs="Times New Roman"/>
          <w:sz w:val="24"/>
          <w:szCs w:val="24"/>
        </w:rPr>
        <w:t>Årets petanquespiller vil motta en vandrepokal, samt en miniatyrpokal. Vandrepokalen vinnes til</w:t>
      </w:r>
      <w:r w:rsid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583836">
        <w:rPr>
          <w:rFonts w:ascii="Times New Roman" w:hAnsi="Times New Roman" w:cs="Times New Roman"/>
          <w:sz w:val="24"/>
          <w:szCs w:val="24"/>
        </w:rPr>
        <w:t>odel og eie etter tre napp. Ved likt antall poeng kåres vinneren etter følgende kriterier,</w:t>
      </w:r>
      <w:r w:rsid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583836">
        <w:rPr>
          <w:rFonts w:ascii="Times New Roman" w:hAnsi="Times New Roman" w:cs="Times New Roman"/>
          <w:sz w:val="24"/>
          <w:szCs w:val="24"/>
        </w:rPr>
        <w:t>beregningen fortsetter til man oppnår en forskjell mellom «kandidatene»:</w:t>
      </w:r>
    </w:p>
    <w:p w14:paraId="31403554" w14:textId="77777777" w:rsidR="00AB60F7" w:rsidRDefault="00583836" w:rsidP="0058383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flest oppnådde poeng i turneringer med over 45 lag, og evt.</w:t>
      </w:r>
    </w:p>
    <w:p w14:paraId="298F032C" w14:textId="77777777" w:rsidR="00AB60F7" w:rsidRDefault="00583836" w:rsidP="0058383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flest oppnådde poeng i turneringer med over 35 lag, og evt.</w:t>
      </w:r>
    </w:p>
    <w:p w14:paraId="47D2C4C4" w14:textId="77777777" w:rsidR="00AB60F7" w:rsidRDefault="00583836" w:rsidP="0058383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flest oppnådde poeng i turneringer med over 25 lag, og evt.</w:t>
      </w:r>
    </w:p>
    <w:p w14:paraId="4A96F30F" w14:textId="77777777" w:rsidR="00AB60F7" w:rsidRDefault="00583836" w:rsidP="0058383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flest oppnådde poeng i turneringer med over 15 lag, og evt.</w:t>
      </w:r>
    </w:p>
    <w:p w14:paraId="03A668BC" w14:textId="77777777" w:rsidR="00AB60F7" w:rsidRDefault="00583836" w:rsidP="0058383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flest poeng oppnådd i NM totalt, og evt.</w:t>
      </w:r>
    </w:p>
    <w:p w14:paraId="505CFE58" w14:textId="77777777" w:rsidR="00AB60F7" w:rsidRDefault="00583836" w:rsidP="0058383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flest antall seire totalt sett, og evt.</w:t>
      </w:r>
    </w:p>
    <w:p w14:paraId="61ABF30E" w14:textId="25FF5B44" w:rsidR="00583836" w:rsidRPr="00AB60F7" w:rsidRDefault="00583836" w:rsidP="0058383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flest antall 2. plasser totalt sett</w:t>
      </w:r>
    </w:p>
    <w:p w14:paraId="12A613B4" w14:textId="77777777" w:rsidR="00AB60F7" w:rsidRDefault="00AB60F7" w:rsidP="00583836">
      <w:pPr>
        <w:rPr>
          <w:rFonts w:ascii="Times New Roman" w:hAnsi="Times New Roman" w:cs="Times New Roman"/>
          <w:sz w:val="24"/>
          <w:szCs w:val="24"/>
        </w:rPr>
      </w:pPr>
    </w:p>
    <w:p w14:paraId="1C983D86" w14:textId="1A964A1E" w:rsidR="00583836" w:rsidRPr="00583836" w:rsidRDefault="00583836" w:rsidP="00583836">
      <w:pPr>
        <w:rPr>
          <w:rFonts w:ascii="Times New Roman" w:hAnsi="Times New Roman" w:cs="Times New Roman"/>
          <w:sz w:val="24"/>
          <w:szCs w:val="24"/>
        </w:rPr>
      </w:pPr>
      <w:r w:rsidRPr="00583836">
        <w:rPr>
          <w:rFonts w:ascii="Times New Roman" w:hAnsi="Times New Roman" w:cs="Times New Roman"/>
          <w:sz w:val="24"/>
          <w:szCs w:val="24"/>
        </w:rPr>
        <w:t>De seks spillerne øverst på tabellen vil bli innvilget reisestøtte fra seksjonen. Se oversikten her.</w:t>
      </w:r>
    </w:p>
    <w:p w14:paraId="177D0491" w14:textId="77777777" w:rsidR="00583836" w:rsidRPr="00583836" w:rsidRDefault="00583836" w:rsidP="00AB60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3836">
        <w:rPr>
          <w:rFonts w:ascii="Times New Roman" w:hAnsi="Times New Roman" w:cs="Times New Roman"/>
          <w:sz w:val="24"/>
          <w:szCs w:val="24"/>
        </w:rPr>
        <w:t>1. plass: kr. 4.000</w:t>
      </w:r>
    </w:p>
    <w:p w14:paraId="3224DBB5" w14:textId="45BAF7B9" w:rsidR="00583836" w:rsidRPr="00583836" w:rsidRDefault="00AB60F7" w:rsidP="00AB60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3836" w:rsidRPr="00583836">
        <w:rPr>
          <w:rFonts w:ascii="Times New Roman" w:hAnsi="Times New Roman" w:cs="Times New Roman"/>
          <w:sz w:val="24"/>
          <w:szCs w:val="24"/>
        </w:rPr>
        <w:t>. plass: kr. 3.000</w:t>
      </w:r>
    </w:p>
    <w:p w14:paraId="4B0D8EF6" w14:textId="004AA529" w:rsidR="00583836" w:rsidRPr="00583836" w:rsidRDefault="00AB60F7" w:rsidP="00AB60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83836" w:rsidRPr="00583836">
        <w:rPr>
          <w:rFonts w:ascii="Times New Roman" w:hAnsi="Times New Roman" w:cs="Times New Roman"/>
          <w:sz w:val="24"/>
          <w:szCs w:val="24"/>
        </w:rPr>
        <w:t>plass: kr. 2.500</w:t>
      </w:r>
    </w:p>
    <w:p w14:paraId="623255E5" w14:textId="1C9CD9DA" w:rsidR="00583836" w:rsidRPr="00583836" w:rsidRDefault="00AB60F7" w:rsidP="00AB60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83836" w:rsidRPr="00583836">
        <w:rPr>
          <w:rFonts w:ascii="Times New Roman" w:hAnsi="Times New Roman" w:cs="Times New Roman"/>
          <w:sz w:val="24"/>
          <w:szCs w:val="24"/>
        </w:rPr>
        <w:t>plass: kr. 2.000</w:t>
      </w:r>
    </w:p>
    <w:p w14:paraId="40162CED" w14:textId="53DC4CE2" w:rsidR="00583836" w:rsidRPr="00583836" w:rsidRDefault="00AB60F7" w:rsidP="00AB60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83836" w:rsidRPr="00583836">
        <w:rPr>
          <w:rFonts w:ascii="Times New Roman" w:hAnsi="Times New Roman" w:cs="Times New Roman"/>
          <w:sz w:val="24"/>
          <w:szCs w:val="24"/>
        </w:rPr>
        <w:t>plass: kr. 2.000</w:t>
      </w:r>
    </w:p>
    <w:p w14:paraId="2DC647CE" w14:textId="17198AD1" w:rsidR="00583836" w:rsidRPr="00583836" w:rsidRDefault="00AB60F7" w:rsidP="00AB60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83836" w:rsidRPr="00583836">
        <w:rPr>
          <w:rFonts w:ascii="Times New Roman" w:hAnsi="Times New Roman" w:cs="Times New Roman"/>
          <w:sz w:val="24"/>
          <w:szCs w:val="24"/>
        </w:rPr>
        <w:t>plass: kr. 1.500</w:t>
      </w:r>
    </w:p>
    <w:p w14:paraId="763A926C" w14:textId="77777777" w:rsidR="00AB60F7" w:rsidRDefault="00AB60F7" w:rsidP="00583836">
      <w:pPr>
        <w:rPr>
          <w:rFonts w:ascii="Times New Roman" w:hAnsi="Times New Roman" w:cs="Times New Roman"/>
          <w:sz w:val="24"/>
          <w:szCs w:val="24"/>
        </w:rPr>
      </w:pPr>
    </w:p>
    <w:p w14:paraId="3F67B457" w14:textId="0C3718A0" w:rsidR="00583836" w:rsidRPr="00AB60F7" w:rsidRDefault="00583836" w:rsidP="00AB60F7">
      <w:pPr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Også de tre beste damespillerne vil premieres med reisestøtte pålydende kr. 1.000 pr. spiller, så</w:t>
      </w:r>
      <w:r w:rsidR="00AB60F7" w:rsidRP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AB60F7">
        <w:rPr>
          <w:rFonts w:ascii="Times New Roman" w:hAnsi="Times New Roman" w:cs="Times New Roman"/>
          <w:sz w:val="24"/>
          <w:szCs w:val="24"/>
        </w:rPr>
        <w:t>fremt en eller flere av disse ikke er blant topp 6. Spillerne kan ta ut denne «premien» i løpet av de</w:t>
      </w:r>
      <w:r w:rsidR="00AB60F7" w:rsidRP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AB60F7">
        <w:rPr>
          <w:rFonts w:ascii="Times New Roman" w:hAnsi="Times New Roman" w:cs="Times New Roman"/>
          <w:sz w:val="24"/>
          <w:szCs w:val="24"/>
        </w:rPr>
        <w:t>tre påfølgende år. Såfremt ikke premien er benyttet i denne perioden går den tilbake til</w:t>
      </w:r>
      <w:r w:rsidR="00AB60F7" w:rsidRP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AB60F7">
        <w:rPr>
          <w:rFonts w:ascii="Times New Roman" w:hAnsi="Times New Roman" w:cs="Times New Roman"/>
          <w:sz w:val="24"/>
          <w:szCs w:val="24"/>
        </w:rPr>
        <w:t>seksjonen. Premien kan benyttes som reisestøtte til turneringer i både inn- og utland.</w:t>
      </w:r>
    </w:p>
    <w:p w14:paraId="17E496AD" w14:textId="77777777" w:rsidR="00AB60F7" w:rsidRPr="00AB60F7" w:rsidRDefault="00AB60F7" w:rsidP="00AB60F7">
      <w:pPr>
        <w:rPr>
          <w:rFonts w:ascii="Times New Roman" w:hAnsi="Times New Roman" w:cs="Times New Roman"/>
          <w:sz w:val="24"/>
          <w:szCs w:val="24"/>
        </w:rPr>
      </w:pPr>
    </w:p>
    <w:p w14:paraId="087E38EA" w14:textId="4AD1F334" w:rsidR="00583836" w:rsidRPr="00AB60F7" w:rsidRDefault="00AB60F7" w:rsidP="00AB6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Det gjennomføres også</w:t>
      </w:r>
      <w:r w:rsidR="00583836" w:rsidRPr="00AB60F7">
        <w:rPr>
          <w:rFonts w:ascii="Times New Roman" w:hAnsi="Times New Roman" w:cs="Times New Roman"/>
          <w:sz w:val="24"/>
          <w:szCs w:val="24"/>
        </w:rPr>
        <w:t xml:space="preserve"> en egen klubbranking. Det er satt opp premie pålydende kr.</w:t>
      </w:r>
    </w:p>
    <w:p w14:paraId="6D5A0B2C" w14:textId="77777777" w:rsidR="00583836" w:rsidRPr="00AB60F7" w:rsidRDefault="00583836" w:rsidP="00AB6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5.000 til beste klubb. Styret i vinnerklubben skal bruke premien til drift av klubben, herunder</w:t>
      </w:r>
    </w:p>
    <w:p w14:paraId="326B9098" w14:textId="77777777" w:rsidR="00583836" w:rsidRPr="00AB60F7" w:rsidRDefault="00583836" w:rsidP="00AB6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arrangement og/eller annet som kommer klubbens medlemmer til gode.</w:t>
      </w:r>
    </w:p>
    <w:p w14:paraId="0F6A2929" w14:textId="77777777" w:rsidR="00AB60F7" w:rsidRDefault="00AB60F7" w:rsidP="00583836">
      <w:pPr>
        <w:rPr>
          <w:rFonts w:ascii="Times New Roman" w:hAnsi="Times New Roman" w:cs="Times New Roman"/>
          <w:sz w:val="24"/>
          <w:szCs w:val="24"/>
        </w:rPr>
      </w:pPr>
    </w:p>
    <w:p w14:paraId="4D9A4315" w14:textId="202E3E65" w:rsidR="00AB60F7" w:rsidRPr="00AB60F7" w:rsidRDefault="00AB60F7" w:rsidP="005838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60F7">
        <w:rPr>
          <w:rFonts w:ascii="Times New Roman" w:hAnsi="Times New Roman" w:cs="Times New Roman"/>
          <w:b/>
          <w:bCs/>
          <w:sz w:val="24"/>
          <w:szCs w:val="24"/>
        </w:rPr>
        <w:t>Antidopingarbeid</w:t>
      </w:r>
    </w:p>
    <w:p w14:paraId="612A4471" w14:textId="6B6D953B" w:rsidR="00583836" w:rsidRPr="00583836" w:rsidRDefault="00583836" w:rsidP="00583836">
      <w:pPr>
        <w:rPr>
          <w:rFonts w:ascii="Times New Roman" w:hAnsi="Times New Roman" w:cs="Times New Roman"/>
          <w:sz w:val="24"/>
          <w:szCs w:val="24"/>
        </w:rPr>
      </w:pPr>
      <w:r w:rsidRPr="00583836">
        <w:rPr>
          <w:rFonts w:ascii="Times New Roman" w:hAnsi="Times New Roman" w:cs="Times New Roman"/>
          <w:sz w:val="24"/>
          <w:szCs w:val="24"/>
        </w:rPr>
        <w:t>Som en del av Idretts-Norge er vi alle pliktige å forholde oss til, og rette oss etter</w:t>
      </w:r>
      <w:r w:rsid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583836">
        <w:rPr>
          <w:rFonts w:ascii="Times New Roman" w:hAnsi="Times New Roman" w:cs="Times New Roman"/>
          <w:sz w:val="24"/>
          <w:szCs w:val="24"/>
        </w:rPr>
        <w:t>antidopingarbeidet. Hver og en av oss skal vite hvorfor doping er forbudt, hva det gjør med</w:t>
      </w:r>
      <w:r w:rsid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583836">
        <w:rPr>
          <w:rFonts w:ascii="Times New Roman" w:hAnsi="Times New Roman" w:cs="Times New Roman"/>
          <w:sz w:val="24"/>
          <w:szCs w:val="24"/>
        </w:rPr>
        <w:t>kroppen og hvilke konsekvenser det har å bryte dopingbestemmelsene. Dopingtester kan utføres</w:t>
      </w:r>
      <w:r w:rsid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583836">
        <w:rPr>
          <w:rFonts w:ascii="Times New Roman" w:hAnsi="Times New Roman" w:cs="Times New Roman"/>
          <w:sz w:val="24"/>
          <w:szCs w:val="24"/>
        </w:rPr>
        <w:t>både under klubbtreninger, turneringer og større mesterskap. Vi anbefaler derfor både klubber og</w:t>
      </w:r>
      <w:r w:rsid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583836">
        <w:rPr>
          <w:rFonts w:ascii="Times New Roman" w:hAnsi="Times New Roman" w:cs="Times New Roman"/>
          <w:sz w:val="24"/>
          <w:szCs w:val="24"/>
        </w:rPr>
        <w:t>enkeltspillere å besøke nettsiden antidoping.no. Her finnes egne program for Rent</w:t>
      </w:r>
      <w:r w:rsid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583836">
        <w:rPr>
          <w:rFonts w:ascii="Times New Roman" w:hAnsi="Times New Roman" w:cs="Times New Roman"/>
          <w:sz w:val="24"/>
          <w:szCs w:val="24"/>
        </w:rPr>
        <w:t>Idrettslag</w:t>
      </w:r>
      <w:r w:rsid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583836">
        <w:rPr>
          <w:rFonts w:ascii="Times New Roman" w:hAnsi="Times New Roman" w:cs="Times New Roman"/>
          <w:sz w:val="24"/>
          <w:szCs w:val="24"/>
        </w:rPr>
        <w:t>og Ren Utøver.</w:t>
      </w:r>
    </w:p>
    <w:p w14:paraId="49A0FF4A" w14:textId="2F9115C8" w:rsidR="00583836" w:rsidRDefault="00583836" w:rsidP="00583836">
      <w:pPr>
        <w:rPr>
          <w:rFonts w:ascii="Times New Roman" w:hAnsi="Times New Roman" w:cs="Times New Roman"/>
          <w:sz w:val="24"/>
          <w:szCs w:val="24"/>
        </w:rPr>
      </w:pPr>
    </w:p>
    <w:p w14:paraId="5B353932" w14:textId="77777777" w:rsidR="00D93489" w:rsidRDefault="00D93489" w:rsidP="00583836">
      <w:pPr>
        <w:rPr>
          <w:rFonts w:ascii="Times New Roman" w:hAnsi="Times New Roman" w:cs="Times New Roman"/>
          <w:sz w:val="24"/>
          <w:szCs w:val="24"/>
        </w:rPr>
      </w:pPr>
    </w:p>
    <w:p w14:paraId="689E6BA8" w14:textId="399A14A5" w:rsidR="00D93489" w:rsidRPr="00583836" w:rsidRDefault="00D93489" w:rsidP="00583836">
      <w:pPr>
        <w:rPr>
          <w:rFonts w:ascii="Times New Roman" w:hAnsi="Times New Roman" w:cs="Times New Roman"/>
          <w:sz w:val="24"/>
          <w:szCs w:val="24"/>
        </w:rPr>
      </w:pPr>
    </w:p>
    <w:sectPr w:rsidR="00D93489" w:rsidRPr="005838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CCB7" w14:textId="77777777" w:rsidR="00834C51" w:rsidRDefault="00834C51" w:rsidP="00D93489">
      <w:pPr>
        <w:spacing w:after="0" w:line="240" w:lineRule="auto"/>
      </w:pPr>
      <w:r>
        <w:separator/>
      </w:r>
    </w:p>
  </w:endnote>
  <w:endnote w:type="continuationSeparator" w:id="0">
    <w:p w14:paraId="51FAB356" w14:textId="77777777" w:rsidR="00834C51" w:rsidRDefault="00834C51" w:rsidP="00D9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1F597" w14:textId="77777777" w:rsidR="00834C51" w:rsidRDefault="00834C51" w:rsidP="00D93489">
      <w:pPr>
        <w:spacing w:after="0" w:line="240" w:lineRule="auto"/>
      </w:pPr>
      <w:r>
        <w:separator/>
      </w:r>
    </w:p>
  </w:footnote>
  <w:footnote w:type="continuationSeparator" w:id="0">
    <w:p w14:paraId="6E9A7095" w14:textId="77777777" w:rsidR="00834C51" w:rsidRDefault="00834C51" w:rsidP="00D9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BA30" w14:textId="120B2D53" w:rsidR="00D93489" w:rsidRDefault="00D93489">
    <w:pPr>
      <w:pStyle w:val="Topptekst"/>
    </w:pPr>
    <w:r>
      <w:tab/>
    </w:r>
    <w:r>
      <w:tab/>
      <w:t>(Sist oppdatert des.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00C6"/>
    <w:multiLevelType w:val="hybridMultilevel"/>
    <w:tmpl w:val="E612E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D6392"/>
    <w:multiLevelType w:val="hybridMultilevel"/>
    <w:tmpl w:val="4BEE5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600059">
    <w:abstractNumId w:val="0"/>
  </w:num>
  <w:num w:numId="2" w16cid:durableId="145294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36"/>
    <w:rsid w:val="00555321"/>
    <w:rsid w:val="00583836"/>
    <w:rsid w:val="00660A59"/>
    <w:rsid w:val="006F5930"/>
    <w:rsid w:val="00834C51"/>
    <w:rsid w:val="0085134D"/>
    <w:rsid w:val="00A87C20"/>
    <w:rsid w:val="00AB60F7"/>
    <w:rsid w:val="00D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6EC"/>
  <w15:chartTrackingRefBased/>
  <w15:docId w15:val="{97C3AC6F-E52A-4879-9D20-A5F5EFA0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59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F593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F593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9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3489"/>
  </w:style>
  <w:style w:type="paragraph" w:styleId="Bunntekst">
    <w:name w:val="footer"/>
    <w:basedOn w:val="Normal"/>
    <w:link w:val="BunntekstTegn"/>
    <w:uiPriority w:val="99"/>
    <w:unhideWhenUsed/>
    <w:rsid w:val="00D9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anque.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945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Johannesen</dc:creator>
  <cp:keywords/>
  <dc:description/>
  <cp:lastModifiedBy>Øystein Johannesen</cp:lastModifiedBy>
  <cp:revision>3</cp:revision>
  <dcterms:created xsi:type="dcterms:W3CDTF">2023-12-05T19:01:00Z</dcterms:created>
  <dcterms:modified xsi:type="dcterms:W3CDTF">2025-02-25T10:29:00Z</dcterms:modified>
</cp:coreProperties>
</file>